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8"/>
          <w:tab w:val="center" w:pos="4454"/>
        </w:tabs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使用学生卡告知书</w:t>
      </w:r>
    </w:p>
    <w:p>
      <w:pPr>
        <w:tabs>
          <w:tab w:val="left" w:pos="508"/>
          <w:tab w:val="center" w:pos="4454"/>
        </w:tabs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尊敬的家长、亲爱的同学：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根据上级要求和学校实际，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葛洲坝中学</w:t>
      </w:r>
      <w:r>
        <w:rPr>
          <w:rFonts w:hint="eastAsia" w:ascii="宋体" w:hAnsi="宋体" w:cs="宋体"/>
          <w:sz w:val="28"/>
          <w:szCs w:val="28"/>
        </w:rPr>
        <w:t>使用“宜昌市中小学校园</w:t>
      </w:r>
      <w:r>
        <w:rPr>
          <w:rFonts w:hint="eastAsia" w:ascii="宋体" w:hAnsi="宋体" w:cs="宋体"/>
          <w:sz w:val="28"/>
          <w:szCs w:val="28"/>
          <w:lang w:eastAsia="zh-CN"/>
        </w:rPr>
        <w:t>无现金</w:t>
      </w:r>
      <w:r>
        <w:rPr>
          <w:rFonts w:hint="eastAsia" w:ascii="宋体" w:hAnsi="宋体" w:cs="宋体"/>
          <w:sz w:val="28"/>
          <w:szCs w:val="28"/>
        </w:rPr>
        <w:t>消费监管平台”来管理服务学生校园生活。学校在开学时统一为每位新生发放“学生校园卡”（以下简称“学生卡”），现将相关事宜告知如下：</w:t>
      </w:r>
    </w:p>
    <w:p>
      <w:pPr>
        <w:spacing w:line="440" w:lineRule="exact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一、服务平台功能简介</w:t>
      </w:r>
    </w:p>
    <w:p>
      <w:pPr>
        <w:spacing w:line="440" w:lineRule="exact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1.刷卡消费：</w:t>
      </w:r>
      <w:r>
        <w:rPr>
          <w:rFonts w:hint="eastAsia" w:ascii="宋体" w:hAnsi="宋体" w:cs="宋体"/>
          <w:sz w:val="28"/>
          <w:szCs w:val="28"/>
        </w:rPr>
        <w:t>学生卡在学校各消费网点（食堂、超市、水果店、鲜奶吧、面包房、书店、文印室、洗衣店、医务室）刷卡消费。</w:t>
      </w:r>
    </w:p>
    <w:p>
      <w:pPr>
        <w:spacing w:line="440" w:lineRule="exact"/>
        <w:ind w:firstLine="562" w:firstLineChars="200"/>
        <w:jc w:val="left"/>
        <w:rPr>
          <w:rStyle w:val="17"/>
          <w:rFonts w:ascii="宋体" w:hAnsi="宋体" w:cs="宋体"/>
          <w:b w:val="0"/>
          <w:kern w:val="2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2.自动充值</w:t>
      </w:r>
      <w:r>
        <w:rPr>
          <w:rFonts w:hint="eastAsia" w:ascii="宋体" w:hAnsi="宋体" w:cs="宋体"/>
          <w:sz w:val="28"/>
          <w:szCs w:val="28"/>
        </w:rPr>
        <w:t>：当学生卡消费成功且余额小于30元时，系统自动向银行发起转账请求，按签约金额实现学生卡自动转存充值。自动充值每日限一次，</w:t>
      </w:r>
      <w:r>
        <w:rPr>
          <w:rStyle w:val="17"/>
          <w:rFonts w:hint="eastAsia" w:ascii="宋体" w:hAnsi="宋体" w:cs="宋体"/>
          <w:b w:val="0"/>
          <w:sz w:val="28"/>
          <w:szCs w:val="28"/>
        </w:rPr>
        <w:t>家长需保证银行卡余额大于或等于签约金额，才能自动转账成功。</w:t>
      </w:r>
    </w:p>
    <w:p>
      <w:pPr>
        <w:spacing w:line="440" w:lineRule="exact"/>
        <w:ind w:firstLine="562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3.自助充值</w:t>
      </w:r>
      <w:r>
        <w:rPr>
          <w:rFonts w:hint="eastAsia" w:ascii="宋体" w:hAnsi="宋体" w:cs="宋体"/>
          <w:sz w:val="28"/>
          <w:szCs w:val="28"/>
        </w:rPr>
        <w:t>：家长可通过“湖北农信”APP或“宜昌校园</w:t>
      </w:r>
      <w:r>
        <w:rPr>
          <w:rFonts w:ascii="宋体" w:hAnsi="宋体" w:cs="宋体"/>
          <w:sz w:val="28"/>
          <w:szCs w:val="28"/>
        </w:rPr>
        <w:t>生活服务平台</w:t>
      </w:r>
      <w:r>
        <w:rPr>
          <w:rFonts w:hint="eastAsia" w:ascii="宋体" w:hAnsi="宋体" w:cs="宋体"/>
          <w:sz w:val="28"/>
          <w:szCs w:val="28"/>
        </w:rPr>
        <w:t>”微信公众号，自助进行学生卡充值。</w:t>
      </w:r>
    </w:p>
    <w:p>
      <w:pPr>
        <w:spacing w:line="440" w:lineRule="exact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4.安全保障：</w:t>
      </w:r>
      <w:r>
        <w:rPr>
          <w:rFonts w:hint="eastAsia" w:ascii="宋体" w:hAnsi="宋体" w:cs="宋体"/>
          <w:sz w:val="28"/>
          <w:szCs w:val="28"/>
        </w:rPr>
        <w:t>家长转存给学生卡上的资金存储在教育部门专用账户中，学生当日累计消费超过限额时，应输入交易密码</w:t>
      </w:r>
      <w:r>
        <w:rPr>
          <w:rFonts w:hint="eastAsia" w:ascii="宋体" w:hAnsi="宋体" w:cs="宋体"/>
          <w:b/>
          <w:sz w:val="28"/>
          <w:szCs w:val="28"/>
        </w:rPr>
        <w:t>（请家长注册公众号后及时修改卡片密码）</w:t>
      </w:r>
      <w:r>
        <w:rPr>
          <w:rFonts w:hint="eastAsia" w:ascii="宋体" w:hAnsi="宋体" w:cs="宋体"/>
          <w:sz w:val="28"/>
          <w:szCs w:val="28"/>
        </w:rPr>
        <w:t>，以保障学生校内生活和资金安全。</w:t>
      </w:r>
    </w:p>
    <w:p>
      <w:pPr>
        <w:spacing w:line="440" w:lineRule="exact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5.信息查询：</w:t>
      </w:r>
      <w:r>
        <w:rPr>
          <w:rFonts w:hint="eastAsia" w:ascii="宋体" w:hAnsi="宋体" w:cs="宋体"/>
          <w:sz w:val="28"/>
          <w:szCs w:val="28"/>
        </w:rPr>
        <w:t>家长可关注“宜昌校园</w:t>
      </w:r>
      <w:r>
        <w:rPr>
          <w:rFonts w:ascii="宋体" w:hAnsi="宋体" w:cs="宋体"/>
          <w:sz w:val="28"/>
          <w:szCs w:val="28"/>
        </w:rPr>
        <w:t>生活服务平台</w:t>
      </w:r>
      <w:r>
        <w:rPr>
          <w:rFonts w:hint="eastAsia" w:ascii="宋体" w:hAnsi="宋体" w:cs="宋体"/>
          <w:sz w:val="28"/>
          <w:szCs w:val="28"/>
        </w:rPr>
        <w:t>”微信公众号，查询充值信息、学生卡余额、消费明细等信息，更加方便您管理孩子校园消费情况。</w:t>
      </w:r>
    </w:p>
    <w:p>
      <w:pPr>
        <w:spacing w:line="440" w:lineRule="exact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二、家长办理流程及注意事项</w:t>
      </w:r>
    </w:p>
    <w:p>
      <w:pPr>
        <w:spacing w:line="440" w:lineRule="exact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三峡</w:t>
      </w:r>
      <w:r>
        <w:rPr>
          <w:rFonts w:hint="eastAsia" w:ascii="宋体" w:hAnsi="宋体" w:cs="宋体"/>
          <w:sz w:val="28"/>
          <w:szCs w:val="28"/>
        </w:rPr>
        <w:t>农商银行是我校学生卡服务银行，学生卡充值签约挂接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三峡</w:t>
      </w:r>
      <w:r>
        <w:rPr>
          <w:rFonts w:hint="eastAsia" w:ascii="宋体" w:hAnsi="宋体" w:cs="宋体"/>
          <w:sz w:val="28"/>
          <w:szCs w:val="28"/>
        </w:rPr>
        <w:t>农商银行银行卡，采用自动转账充值或自助充值方式。根据市教育局和市纪委要求，为保障资金安全和节省时间，学校原则上不接受学生现金充值，家长务必在开学前办理好签约挂接手续，以免影响学生入校后的正常学习生活。</w:t>
      </w: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pict>
          <v:shape id="1027" o:spid="_x0000_s1026" o:spt="75" type="#_x0000_t75" style="position:absolute;left:0pt;margin-left:2.3pt;margin-top:587.9pt;height:115.75pt;width:453.15pt;mso-position-horizontal-relative:margin;mso-position-vertical-relative:margin;z-index:251659264;mso-width-relative:page;mso-height-relative:page;" o:ole="t" filled="f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</v:shape>
          <o:OLEObject Type="Embed" ProgID="Visio.Drawing.11" ShapeID="1027" DrawAspect="Content" ObjectID="_1468075725" r:id="rId4">
            <o:LockedField>false</o:LockedField>
          </o:OLEObject>
        </w:pict>
      </w: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  <w:r>
        <w:pict>
          <v:shape id="1028" o:spid="_x0000_s1027" o:spt="75" type="#_x0000_t75" style="position:absolute;left:0pt;margin-left:0.5pt;margin-top:2.85pt;height:272.2pt;width:453.15pt;mso-position-horizontal-relative:margin;mso-position-vertical-relative:margin;z-index:251659264;mso-width-relative:page;mso-height-relative:page;" o:ole="t" filled="f" stroked="f" coordsize="21600,21600">
            <v:path/>
            <v:fill on="f" focussize="0,0"/>
            <v:stroke on="f" joinstyle="miter"/>
            <v:imagedata r:id="rId7" embosscolor="#FFFFFF" o:title=""/>
            <o:lock v:ext="edit" aspectratio="t"/>
          </v:shape>
          <o:OLEObject Type="Embed" ProgID="Visio.Drawing.11" ShapeID="1028" DrawAspect="Content" ObjectID="_1468075726" r:id="rId6">
            <o:LockedField>false</o:LockedField>
          </o:OLEObject>
        </w:pict>
      </w: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30"/>
          <w:szCs w:val="30"/>
        </w:rPr>
        <w:pict>
          <v:shape id="1029" o:spid="_x0000_s1028" o:spt="75" type="#_x0000_t75" style="position:absolute;left:0pt;margin-left:0.05pt;margin-top:260.4pt;height:248.35pt;width:453.15pt;mso-position-horizontal-relative:margin;mso-position-vertical-relative:margin;z-index:251659264;mso-width-relative:page;mso-height-relative:page;" o:ole="t" filled="f" stroked="f" coordsize="21600,21600">
            <v:path/>
            <v:fill on="f" focussize="0,0"/>
            <v:stroke on="f" joinstyle="miter"/>
            <v:imagedata r:id="rId9" embosscolor="#FFFFFF" o:title=""/>
            <o:lock v:ext="edit" aspectratio="t"/>
          </v:shape>
          <o:OLEObject Type="Embed" ProgID="Visio.Drawing.11" ShapeID="1029" DrawAspect="Content" ObjectID="_1468075727" r:id="rId8">
            <o:LockedField>false</o:LockedField>
          </o:OLEObject>
        </w:pict>
      </w: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黑体" w:hAnsi="黑体" w:eastAsia="黑体" w:cs="宋体"/>
          <w:b/>
          <w:sz w:val="30"/>
          <w:szCs w:val="30"/>
        </w:rPr>
      </w:pPr>
    </w:p>
    <w:p>
      <w:pPr>
        <w:spacing w:line="520" w:lineRule="exact"/>
        <w:rPr>
          <w:rFonts w:ascii="黑体" w:hAnsi="黑体" w:eastAsia="黑体" w:cs="宋体"/>
          <w:b/>
          <w:sz w:val="30"/>
          <w:szCs w:val="30"/>
        </w:rPr>
      </w:pPr>
    </w:p>
    <w:p>
      <w:pPr>
        <w:spacing w:line="520" w:lineRule="exact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三、学生卡服务渠道</w:t>
      </w:r>
    </w:p>
    <w:p>
      <w:pPr>
        <w:spacing w:line="440" w:lineRule="exact"/>
        <w:ind w:firstLine="562" w:firstLineChars="200"/>
        <w:jc w:val="left"/>
        <w:rPr>
          <w:rStyle w:val="17"/>
          <w:rFonts w:ascii="宋体" w:hAnsi="宋体" w:cs="宋体"/>
          <w:sz w:val="28"/>
          <w:szCs w:val="28"/>
        </w:rPr>
      </w:pPr>
      <w:r>
        <w:rPr>
          <w:rStyle w:val="17"/>
          <w:rFonts w:hint="eastAsia" w:ascii="宋体" w:hAnsi="宋体" w:cs="宋体"/>
          <w:sz w:val="28"/>
          <w:szCs w:val="28"/>
        </w:rPr>
        <w:t>1.</w:t>
      </w:r>
      <w:r>
        <w:rPr>
          <w:rStyle w:val="17"/>
          <w:rFonts w:hint="eastAsia" w:ascii="宋体" w:hAnsi="宋体" w:cs="宋体"/>
          <w:b w:val="0"/>
          <w:sz w:val="28"/>
          <w:szCs w:val="28"/>
        </w:rPr>
        <w:t>学校食堂微机室。</w:t>
      </w:r>
    </w:p>
    <w:p>
      <w:pPr>
        <w:spacing w:line="440" w:lineRule="exact"/>
        <w:ind w:firstLine="560" w:firstLineChars="200"/>
        <w:jc w:val="left"/>
        <w:rPr>
          <w:rStyle w:val="17"/>
          <w:rFonts w:ascii="宋体" w:hAnsi="宋体" w:cs="宋体"/>
          <w:b w:val="0"/>
          <w:sz w:val="28"/>
          <w:szCs w:val="28"/>
        </w:rPr>
      </w:pPr>
      <w:r>
        <w:rPr>
          <w:rStyle w:val="17"/>
          <w:rFonts w:hint="eastAsia" w:ascii="宋体" w:hAnsi="宋体" w:cs="宋体"/>
          <w:b w:val="0"/>
          <w:sz w:val="28"/>
          <w:szCs w:val="28"/>
        </w:rPr>
        <w:t>2.宜昌校园生活服务平台热线：0717-6738087、6734091</w:t>
      </w:r>
    </w:p>
    <w:p>
      <w:pPr>
        <w:spacing w:line="440" w:lineRule="exact"/>
        <w:ind w:firstLine="560" w:firstLineChars="200"/>
        <w:jc w:val="left"/>
        <w:rPr>
          <w:rStyle w:val="17"/>
          <w:rFonts w:ascii="宋体" w:hAnsi="宋体" w:cs="宋体"/>
          <w:b w:val="0"/>
          <w:sz w:val="28"/>
          <w:szCs w:val="28"/>
        </w:rPr>
      </w:pPr>
      <w:r>
        <w:rPr>
          <w:rStyle w:val="17"/>
          <w:rFonts w:hint="eastAsia" w:ascii="宋体" w:hAnsi="宋体" w:cs="宋体"/>
          <w:b w:val="0"/>
          <w:sz w:val="28"/>
          <w:szCs w:val="28"/>
        </w:rPr>
        <w:t>3.农商银行各网点。</w:t>
      </w:r>
    </w:p>
    <w:p>
      <w:pPr>
        <w:spacing w:line="440" w:lineRule="exact"/>
        <w:jc w:val="left"/>
        <w:rPr>
          <w:rStyle w:val="17"/>
          <w:rFonts w:hint="default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Style w:val="17"/>
          <w:rFonts w:hint="eastAsia" w:ascii="宋体" w:hAnsi="宋体" w:cs="宋体"/>
          <w:b w:val="0"/>
          <w:sz w:val="28"/>
          <w:szCs w:val="28"/>
        </w:rPr>
        <w:t xml:space="preserve">                                    </w:t>
      </w:r>
      <w:r>
        <w:rPr>
          <w:rStyle w:val="17"/>
          <w:rFonts w:ascii="宋体" w:hAnsi="宋体" w:cs="宋体"/>
          <w:b w:val="0"/>
          <w:sz w:val="28"/>
          <w:szCs w:val="28"/>
        </w:rPr>
        <w:t xml:space="preserve">   </w:t>
      </w:r>
      <w:r>
        <w:rPr>
          <w:rStyle w:val="17"/>
          <w:rFonts w:hint="eastAsia" w:ascii="宋体" w:hAnsi="宋体" w:cs="宋体"/>
          <w:b w:val="0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葛洲坝中学</w:t>
      </w:r>
      <w:bookmarkEnd w:id="0"/>
    </w:p>
    <w:p>
      <w:pPr>
        <w:spacing w:line="440" w:lineRule="exact"/>
        <w:ind w:firstLine="5320" w:firstLineChars="1900"/>
        <w:jc w:val="left"/>
        <w:rPr>
          <w:rStyle w:val="17"/>
          <w:rFonts w:ascii="宋体" w:hAnsi="宋体" w:cs="宋体"/>
          <w:b w:val="0"/>
          <w:sz w:val="28"/>
          <w:szCs w:val="28"/>
        </w:rPr>
      </w:pPr>
      <w:r>
        <w:rPr>
          <w:rStyle w:val="17"/>
          <w:rFonts w:hint="eastAsia" w:ascii="宋体" w:hAnsi="宋体" w:cs="宋体"/>
          <w:b w:val="0"/>
          <w:sz w:val="28"/>
          <w:szCs w:val="28"/>
        </w:rPr>
        <w:t>202</w:t>
      </w:r>
      <w:r>
        <w:rPr>
          <w:rStyle w:val="17"/>
          <w:rFonts w:hint="eastAsia" w:ascii="宋体" w:hAnsi="宋体" w:cs="宋体"/>
          <w:b w:val="0"/>
          <w:sz w:val="28"/>
          <w:szCs w:val="28"/>
          <w:lang w:val="en-US" w:eastAsia="zh-CN"/>
        </w:rPr>
        <w:t>3</w:t>
      </w:r>
      <w:r>
        <w:rPr>
          <w:rStyle w:val="17"/>
          <w:rFonts w:hint="eastAsia" w:ascii="宋体" w:hAnsi="宋体" w:cs="宋体"/>
          <w:b w:val="0"/>
          <w:sz w:val="28"/>
          <w:szCs w:val="28"/>
        </w:rPr>
        <w:t>年7月</w:t>
      </w:r>
      <w:r>
        <w:rPr>
          <w:rStyle w:val="17"/>
          <w:rFonts w:hint="eastAsia" w:ascii="宋体" w:hAnsi="宋体" w:cs="宋体"/>
          <w:b w:val="0"/>
          <w:sz w:val="28"/>
          <w:szCs w:val="28"/>
          <w:lang w:val="en-US" w:eastAsia="zh-CN"/>
        </w:rPr>
        <w:t>12</w:t>
      </w:r>
      <w:r>
        <w:rPr>
          <w:rStyle w:val="17"/>
          <w:rFonts w:hint="eastAsia" w:ascii="宋体" w:hAnsi="宋体" w:cs="宋体"/>
          <w:b w:val="0"/>
          <w:sz w:val="28"/>
          <w:szCs w:val="28"/>
        </w:rPr>
        <w:t>日</w:t>
      </w:r>
    </w:p>
    <w:p>
      <w:pPr>
        <w:spacing w:line="520" w:lineRule="exact"/>
        <w:rPr>
          <w:rFonts w:ascii="宋体" w:hAnsi="宋体" w:cs="宋体"/>
          <w:sz w:val="24"/>
          <w:szCs w:val="24"/>
        </w:rPr>
      </w:pPr>
    </w:p>
    <w:sectPr>
      <w:pgSz w:w="11906" w:h="16838"/>
      <w:pgMar w:top="1213" w:right="1416" w:bottom="121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jVkNWYzM2U5YTZjN2JmNmZhZmM2YjhmMTdjOWQifQ=="/>
  </w:docVars>
  <w:rsids>
    <w:rsidRoot w:val="00000000"/>
    <w:rsid w:val="087068DE"/>
    <w:rsid w:val="26C55EA9"/>
    <w:rsid w:val="3A183530"/>
    <w:rsid w:val="50190775"/>
    <w:rsid w:val="56E5461B"/>
    <w:rsid w:val="74977656"/>
    <w:rsid w:val="780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99"/>
  </w:style>
  <w:style w:type="character" w:customStyle="1" w:styleId="14">
    <w:name w:val="标题 1 Char1"/>
    <w:link w:val="2"/>
    <w:qFormat/>
    <w:uiPriority w:val="0"/>
    <w:rPr>
      <w:b/>
      <w:kern w:val="44"/>
      <w:sz w:val="44"/>
    </w:rPr>
  </w:style>
  <w:style w:type="character" w:customStyle="1" w:styleId="15">
    <w:name w:val="批注框文本 Char"/>
    <w:basedOn w:val="9"/>
    <w:link w:val="4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Char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3AD48-1244-4BA7-93CC-BDCED3EBE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670</Words>
  <Characters>706</Characters>
  <Paragraphs>51</Paragraphs>
  <TotalTime>1</TotalTime>
  <ScaleCrop>false</ScaleCrop>
  <LinksUpToDate>false</LinksUpToDate>
  <CharactersWithSpaces>745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2023-07-09T08:17:00Z</dcterms:created>
  <dc:creator>Administrator</dc:creator>
  <cp:lastModifiedBy>dollar</cp:lastModifiedBy>
  <cp:lastPrinted>2023-07-09T03:11:00Z</cp:lastPrinted>
  <dcterms:modified xsi:type="dcterms:W3CDTF">2023-07-13T06:39:19Z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5515880250814A8E882D68769BC429B3_13</vt:lpwstr>
  </property>
</Properties>
</file>